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629D322" wp14:paraId="02D4D0D1" wp14:textId="397EDACF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629D322" w:rsidR="7609587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7629D322" w:rsidR="7609587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7629D322" w:rsidR="7609587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27, 2025</w:t>
      </w:r>
    </w:p>
    <w:p xmlns:wp14="http://schemas.microsoft.com/office/word/2010/wordml" w:rsidP="7629D322" wp14:paraId="37D93138" wp14:textId="732F5CE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29D322" wp14:paraId="545246E8" wp14:textId="66DFC0C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29D322" w:rsidR="7609587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7629D322" w:rsidR="7609587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7629D322" w:rsidR="7609587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27, 2025</w:t>
      </w:r>
    </w:p>
    <w:p xmlns:wp14="http://schemas.microsoft.com/office/word/2010/wordml" w:rsidP="7629D322" wp14:paraId="36A54105" wp14:textId="2210862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29D322" wp14:paraId="493B4106" wp14:textId="38C9C58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29D322" w:rsidR="7609587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629D322" wp14:paraId="1C135B4F" wp14:textId="3460B6FC">
      <w:pPr>
        <w:pStyle w:val="Normal"/>
        <w:spacing w:before="0" w:beforeAutospacing="off" w:after="0" w:afterAutospacing="off"/>
      </w:pPr>
      <w:r w:rsidRPr="7629D322" w:rsidR="47FA47DD">
        <w:rPr>
          <w:rFonts w:ascii="Arial" w:hAnsi="Arial" w:eastAsia="Arial" w:cs="Arial"/>
          <w:noProof w:val="0"/>
          <w:sz w:val="24"/>
          <w:szCs w:val="24"/>
          <w:lang w:val="fr-FR"/>
        </w:rPr>
        <w:t>ग्रंथ</w:t>
      </w:r>
      <w:r w:rsidRPr="7629D322" w:rsidR="47FA47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629D322" w:rsidR="47FA47DD">
        <w:rPr>
          <w:rFonts w:ascii="Arial" w:hAnsi="Arial" w:eastAsia="Arial" w:cs="Arial"/>
          <w:noProof w:val="0"/>
          <w:sz w:val="24"/>
          <w:szCs w:val="24"/>
          <w:lang w:val="fr-FR"/>
        </w:rPr>
        <w:t>थोड़ा</w:t>
      </w:r>
      <w:r w:rsidRPr="7629D322" w:rsidR="47FA47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629D322" w:rsidR="47FA47DD">
        <w:rPr>
          <w:rFonts w:ascii="Arial" w:hAnsi="Arial" w:eastAsia="Arial" w:cs="Arial"/>
          <w:noProof w:val="0"/>
          <w:sz w:val="24"/>
          <w:szCs w:val="24"/>
          <w:lang w:val="fr-FR"/>
        </w:rPr>
        <w:t>सीखकर</w:t>
      </w:r>
      <w:r w:rsidRPr="7629D322" w:rsidR="47FA47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7629D322" w:rsidR="47FA47DD">
        <w:rPr>
          <w:rFonts w:ascii="Arial" w:hAnsi="Arial" w:eastAsia="Arial" w:cs="Arial"/>
          <w:noProof w:val="0"/>
          <w:sz w:val="24"/>
          <w:szCs w:val="24"/>
          <w:lang w:val="fr-FR"/>
        </w:rPr>
        <w:t>गुरूद्वारा</w:t>
      </w:r>
      <w:r w:rsidRPr="7629D322" w:rsidR="47FA47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629D322" w:rsidR="47FA47DD">
        <w:rPr>
          <w:rFonts w:ascii="Arial" w:hAnsi="Arial" w:eastAsia="Arial" w:cs="Arial"/>
          <w:noProof w:val="0"/>
          <w:sz w:val="24"/>
          <w:szCs w:val="24"/>
          <w:lang w:val="fr-FR"/>
        </w:rPr>
        <w:t>खोल</w:t>
      </w:r>
      <w:r w:rsidRPr="7629D322" w:rsidR="47FA47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629D322" w:rsidR="47FA47DD">
        <w:rPr>
          <w:rFonts w:ascii="Arial" w:hAnsi="Arial" w:eastAsia="Arial" w:cs="Arial"/>
          <w:noProof w:val="0"/>
          <w:sz w:val="24"/>
          <w:szCs w:val="24"/>
          <w:lang w:val="fr-FR"/>
        </w:rPr>
        <w:t>बैठ</w:t>
      </w:r>
      <w:r w:rsidRPr="7629D322" w:rsidR="47FA47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629D322" w:rsidR="47FA47DD">
        <w:rPr>
          <w:rFonts w:ascii="Arial" w:hAnsi="Arial" w:eastAsia="Arial" w:cs="Arial"/>
          <w:noProof w:val="0"/>
          <w:sz w:val="24"/>
          <w:szCs w:val="24"/>
          <w:lang w:val="fr-FR"/>
        </w:rPr>
        <w:t>जाते</w:t>
      </w:r>
      <w:r w:rsidRPr="7629D322" w:rsidR="47FA47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हैं.</w:t>
      </w:r>
    </w:p>
    <w:p xmlns:wp14="http://schemas.microsoft.com/office/word/2010/wordml" w:rsidP="7629D322" wp14:paraId="7C6362BE" wp14:textId="2DE1764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629D322" wp14:paraId="444C796B" wp14:textId="51D0F63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29D322" w:rsidR="7609587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7629D322" w:rsidR="7609587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7629D322" wp14:paraId="052664A5" wp14:textId="27AF0D5E">
      <w:pPr>
        <w:pStyle w:val="Normal"/>
        <w:spacing w:before="0" w:beforeAutospacing="off" w:after="0" w:afterAutospacing="off"/>
      </w:pPr>
      <w:r w:rsidRPr="7629D322" w:rsidR="585EADAB">
        <w:rPr>
          <w:rFonts w:ascii="Arial" w:hAnsi="Arial" w:eastAsia="Arial" w:cs="Arial"/>
          <w:noProof w:val="0"/>
          <w:sz w:val="24"/>
          <w:szCs w:val="24"/>
          <w:lang w:val="en-US"/>
        </w:rPr>
        <w:t>grantha</w:t>
      </w:r>
      <w:r w:rsidRPr="7629D322" w:rsidR="585EADA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629D322" w:rsidR="585EADAB">
        <w:rPr>
          <w:rFonts w:ascii="Arial" w:hAnsi="Arial" w:eastAsia="Arial" w:cs="Arial"/>
          <w:noProof w:val="0"/>
          <w:sz w:val="24"/>
          <w:szCs w:val="24"/>
          <w:lang w:val="en-US"/>
        </w:rPr>
        <w:t>thodā</w:t>
      </w:r>
      <w:r w:rsidRPr="7629D322" w:rsidR="585EADA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629D322" w:rsidR="585EADAB">
        <w:rPr>
          <w:rFonts w:ascii="Arial" w:hAnsi="Arial" w:eastAsia="Arial" w:cs="Arial"/>
          <w:noProof w:val="0"/>
          <w:sz w:val="24"/>
          <w:szCs w:val="24"/>
          <w:lang w:val="en-US"/>
        </w:rPr>
        <w:t>sīkhkar</w:t>
      </w:r>
      <w:r w:rsidRPr="7629D322" w:rsidR="585EADA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7629D322" w:rsidR="585EADAB">
        <w:rPr>
          <w:rFonts w:ascii="Arial" w:hAnsi="Arial" w:eastAsia="Arial" w:cs="Arial"/>
          <w:noProof w:val="0"/>
          <w:sz w:val="24"/>
          <w:szCs w:val="24"/>
          <w:lang w:val="en-US"/>
        </w:rPr>
        <w:t>gurūdvārā</w:t>
      </w:r>
      <w:r w:rsidRPr="7629D322" w:rsidR="585EADA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629D322" w:rsidR="585EADAB">
        <w:rPr>
          <w:rFonts w:ascii="Arial" w:hAnsi="Arial" w:eastAsia="Arial" w:cs="Arial"/>
          <w:noProof w:val="0"/>
          <w:sz w:val="24"/>
          <w:szCs w:val="24"/>
          <w:lang w:val="en-US"/>
        </w:rPr>
        <w:t>khol</w:t>
      </w:r>
      <w:r w:rsidRPr="7629D322" w:rsidR="585EADA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629D322" w:rsidR="585EADAB">
        <w:rPr>
          <w:rFonts w:ascii="Arial" w:hAnsi="Arial" w:eastAsia="Arial" w:cs="Arial"/>
          <w:noProof w:val="0"/>
          <w:sz w:val="24"/>
          <w:szCs w:val="24"/>
          <w:lang w:val="en-US"/>
        </w:rPr>
        <w:t>baiṭh</w:t>
      </w:r>
      <w:r w:rsidRPr="7629D322" w:rsidR="585EADA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629D322" w:rsidR="585EADAB">
        <w:rPr>
          <w:rFonts w:ascii="Arial" w:hAnsi="Arial" w:eastAsia="Arial" w:cs="Arial"/>
          <w:noProof w:val="0"/>
          <w:sz w:val="24"/>
          <w:szCs w:val="24"/>
          <w:lang w:val="en-US"/>
        </w:rPr>
        <w:t>jātē</w:t>
      </w:r>
      <w:r w:rsidRPr="7629D322" w:rsidR="585EADA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629D322" w:rsidR="585EADAB">
        <w:rPr>
          <w:rFonts w:ascii="Arial" w:hAnsi="Arial" w:eastAsia="Arial" w:cs="Arial"/>
          <w:noProof w:val="0"/>
          <w:sz w:val="24"/>
          <w:szCs w:val="24"/>
          <w:lang w:val="en-US"/>
        </w:rPr>
        <w:t>haiṁ</w:t>
      </w:r>
      <w:r w:rsidRPr="7629D322" w:rsidR="585EADAB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7629D322" wp14:paraId="7DCC0313" wp14:textId="288B85F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629D322" wp14:paraId="6B54F422" wp14:textId="1DC5041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29D322" w:rsidR="7609587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7629D322" wp14:paraId="39AB4CE9" wp14:textId="3E45542F">
      <w:pPr>
        <w:pStyle w:val="Normal"/>
        <w:spacing w:before="0" w:beforeAutospacing="off" w:after="0" w:afterAutospacing="off"/>
      </w:pPr>
      <w:r w:rsidRPr="7629D322" w:rsidR="08EE6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After learning a little from the </w:t>
      </w:r>
      <w:r w:rsidRPr="7629D322" w:rsidR="08EE6E6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Granth</w:t>
      </w:r>
      <w:r w:rsidRPr="7629D322" w:rsidR="08EE6E69">
        <w:rPr>
          <w:rFonts w:ascii="Arial" w:hAnsi="Arial" w:eastAsia="Arial" w:cs="Arial"/>
          <w:noProof w:val="0"/>
          <w:sz w:val="24"/>
          <w:szCs w:val="24"/>
          <w:lang w:val="fr-FR"/>
        </w:rPr>
        <w:t>, they open a gurdwara and settle down there.</w:t>
      </w:r>
    </w:p>
    <w:p xmlns:wp14="http://schemas.microsoft.com/office/word/2010/wordml" w:rsidP="7629D322" wp14:paraId="049B37D0" wp14:textId="4C6B106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629D322" wp14:paraId="736E2A14" wp14:textId="17DE9D5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29D322" w:rsidR="7609587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629D322" w:rsidR="7609587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7629D322" wp14:paraId="3A03461B" wp14:textId="0FDD62D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99A5F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ग्रंथ (grantha)</w:t>
      </w:r>
      <w:r w:rsidRPr="7629D322" w:rsidR="099A5F01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7629D322" wp14:paraId="5428ADDB" wp14:textId="1FCA6ADF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99A5F01">
        <w:rPr>
          <w:rFonts w:ascii="Aptos" w:hAnsi="Aptos" w:eastAsia="Aptos" w:cs="Aptos"/>
          <w:noProof w:val="0"/>
          <w:sz w:val="24"/>
          <w:szCs w:val="24"/>
          <w:lang w:val="fr-FR"/>
        </w:rPr>
        <w:t>General meaning: “book, scripture, treatise.”</w:t>
      </w:r>
    </w:p>
    <w:p xmlns:wp14="http://schemas.microsoft.com/office/word/2010/wordml" w:rsidP="7629D322" wp14:paraId="417D323B" wp14:textId="6CE52B20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99A5F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Sikh context: refers to the </w:t>
      </w:r>
      <w:r w:rsidRPr="7629D322" w:rsidR="099A5F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Sri Guru Granth Sahib</w:t>
      </w:r>
      <w:r w:rsidRPr="7629D322" w:rsidR="099A5F01">
        <w:rPr>
          <w:rFonts w:ascii="Aptos" w:hAnsi="Aptos" w:eastAsia="Aptos" w:cs="Aptos"/>
          <w:noProof w:val="0"/>
          <w:sz w:val="24"/>
          <w:szCs w:val="24"/>
          <w:lang w:val="fr-FR"/>
        </w:rPr>
        <w:t>, the central holy scripture of Sikhism.</w:t>
      </w:r>
    </w:p>
    <w:p xmlns:wp14="http://schemas.microsoft.com/office/word/2010/wordml" w:rsidP="7629D322" wp14:paraId="23594A27" wp14:textId="1B4D6648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99A5F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not only a sacred text but considered the </w:t>
      </w:r>
      <w:r w:rsidRPr="7629D322" w:rsidR="099A5F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eternal Guru</w:t>
      </w:r>
      <w:r w:rsidRPr="7629D322" w:rsidR="099A5F01">
        <w:rPr>
          <w:rFonts w:ascii="Aptos" w:hAnsi="Aptos" w:eastAsia="Aptos" w:cs="Aptos"/>
          <w:noProof w:val="0"/>
          <w:sz w:val="24"/>
          <w:szCs w:val="24"/>
          <w:lang w:val="fr-FR"/>
        </w:rPr>
        <w:t>, containing hymns, prayers, and teachings from Sikh Gurus and saints of other traditions.</w:t>
      </w:r>
    </w:p>
    <w:p xmlns:wp14="http://schemas.microsoft.com/office/word/2010/wordml" w:rsidP="7629D322" wp14:paraId="0511E428" wp14:textId="369C4F6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99A5F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थोड़ा (thodā)</w:t>
      </w:r>
      <w:r w:rsidRPr="7629D322" w:rsidR="099A5F01">
        <w:rPr>
          <w:rFonts w:ascii="Aptos" w:hAnsi="Aptos" w:eastAsia="Aptos" w:cs="Aptos"/>
          <w:noProof w:val="0"/>
          <w:sz w:val="24"/>
          <w:szCs w:val="24"/>
          <w:lang w:val="fr-FR"/>
        </w:rPr>
        <w:t>: a little, slightly.</w:t>
      </w:r>
    </w:p>
    <w:p xmlns:wp14="http://schemas.microsoft.com/office/word/2010/wordml" w:rsidP="7629D322" wp14:paraId="01EB50DF" wp14:textId="4FE5C6B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99A5F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सीखकर (sīkhkar)</w:t>
      </w:r>
      <w:r w:rsidRPr="7629D322" w:rsidR="099A5F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“after having learned” (gerund from </w:t>
      </w:r>
      <w:r w:rsidRPr="7629D322" w:rsidR="099A5F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sīkhna</w:t>
      </w:r>
      <w:r w:rsidRPr="7629D322" w:rsidR="099A5F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learn).</w:t>
      </w:r>
    </w:p>
    <w:p xmlns:wp14="http://schemas.microsoft.com/office/word/2010/wordml" w:rsidP="7629D322" wp14:paraId="077E51B8" wp14:textId="002A39D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99A5F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गुरूद्वारा (gurūdvārā)</w:t>
      </w:r>
      <w:r w:rsidRPr="7629D322" w:rsidR="099A5F01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7629D322" wp14:paraId="6923810F" wp14:textId="0A357A12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99A5F01">
        <w:rPr>
          <w:rFonts w:ascii="Aptos" w:hAnsi="Aptos" w:eastAsia="Aptos" w:cs="Aptos"/>
          <w:noProof w:val="0"/>
          <w:sz w:val="24"/>
          <w:szCs w:val="24"/>
          <w:lang w:val="fr-FR"/>
        </w:rPr>
        <w:t>Literally “door of the Guru.”</w:t>
      </w:r>
    </w:p>
    <w:p xmlns:wp14="http://schemas.microsoft.com/office/word/2010/wordml" w:rsidP="7629D322" wp14:paraId="6D35A4D7" wp14:textId="22F747B2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99A5F01">
        <w:rPr>
          <w:rFonts w:ascii="Aptos" w:hAnsi="Aptos" w:eastAsia="Aptos" w:cs="Aptos"/>
          <w:noProof w:val="0"/>
          <w:sz w:val="24"/>
          <w:szCs w:val="24"/>
          <w:lang w:val="fr-FR"/>
        </w:rPr>
        <w:t>The Sikh temple, a house of prayer and community.</w:t>
      </w:r>
    </w:p>
    <w:p xmlns:wp14="http://schemas.microsoft.com/office/word/2010/wordml" w:rsidP="7629D322" wp14:paraId="7F8E4E11" wp14:textId="4FF1C068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99A5F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Main features: reading and singing from the Granth, </w:t>
      </w:r>
      <w:r w:rsidRPr="7629D322" w:rsidR="099A5F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kīrtan</w:t>
      </w:r>
      <w:r w:rsidRPr="7629D322" w:rsidR="099A5F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(devotional music), and </w:t>
      </w:r>
      <w:r w:rsidRPr="7629D322" w:rsidR="099A5F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langar</w:t>
      </w:r>
      <w:r w:rsidRPr="7629D322" w:rsidR="099A5F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(free communal meal for everyone).</w:t>
      </w:r>
    </w:p>
    <w:p xmlns:wp14="http://schemas.microsoft.com/office/word/2010/wordml" w:rsidP="7629D322" wp14:paraId="409FFD71" wp14:textId="729DE7E4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99A5F01">
        <w:rPr>
          <w:rFonts w:ascii="Aptos" w:hAnsi="Aptos" w:eastAsia="Aptos" w:cs="Aptos"/>
          <w:noProof w:val="0"/>
          <w:sz w:val="24"/>
          <w:szCs w:val="24"/>
          <w:lang w:val="fr-FR"/>
        </w:rPr>
        <w:t>Open to all, regardless of caste, religion, or background.</w:t>
      </w:r>
    </w:p>
    <w:p xmlns:wp14="http://schemas.microsoft.com/office/word/2010/wordml" w:rsidP="7629D322" wp14:paraId="6BD5EA61" wp14:textId="7F7DD96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99A5F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खोल (khol)</w:t>
      </w:r>
      <w:r w:rsidRPr="7629D322" w:rsidR="099A5F01">
        <w:rPr>
          <w:rFonts w:ascii="Aptos" w:hAnsi="Aptos" w:eastAsia="Aptos" w:cs="Aptos"/>
          <w:noProof w:val="0"/>
          <w:sz w:val="24"/>
          <w:szCs w:val="24"/>
          <w:lang w:val="fr-FR"/>
        </w:rPr>
        <w:t>: to open.</w:t>
      </w:r>
    </w:p>
    <w:p xmlns:wp14="http://schemas.microsoft.com/office/word/2010/wordml" w:rsidP="7629D322" wp14:paraId="66F6E33D" wp14:textId="7AAD0F8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99A5F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जाते हैं (baiṭh jātē haiṁ)</w:t>
      </w:r>
      <w:r w:rsidRPr="7629D322" w:rsidR="099A5F01">
        <w:rPr>
          <w:rFonts w:ascii="Aptos" w:hAnsi="Aptos" w:eastAsia="Aptos" w:cs="Aptos"/>
          <w:noProof w:val="0"/>
          <w:sz w:val="24"/>
          <w:szCs w:val="24"/>
          <w:lang w:val="fr-FR"/>
        </w:rPr>
        <w:t>: to sit down, here “to settle, to establish themselves.”</w:t>
      </w:r>
    </w:p>
    <w:p xmlns:wp14="http://schemas.microsoft.com/office/word/2010/wordml" wp14:paraId="37C39C4B" wp14:textId="218369DA"/>
    <w:p xmlns:wp14="http://schemas.microsoft.com/office/word/2010/wordml" w:rsidP="7629D322" wp14:paraId="5EAB7C96" wp14:textId="1E4F47C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629D322" wp14:paraId="121A17E5" wp14:textId="69F5799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29D322" w:rsidR="7609587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7629D322" w:rsidR="7609587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7629D322" wp14:paraId="4369F9CF" wp14:textId="498A571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5434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सीखकर (sīkhkar)</w:t>
      </w:r>
      <w:r w:rsidRPr="7629D322" w:rsidR="05434890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7629D322" wp14:paraId="12288BC3" wp14:textId="1A81916C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5434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Gerund form: </w:t>
      </w:r>
      <w:r w:rsidRPr="7629D322" w:rsidR="054348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verb + kar</w:t>
      </w:r>
      <w:r w:rsidRPr="7629D322" w:rsidR="05434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indicates an action completed before the main action.</w:t>
      </w:r>
    </w:p>
    <w:p xmlns:wp14="http://schemas.microsoft.com/office/word/2010/wordml" w:rsidP="7629D322" wp14:paraId="131E0F6E" wp14:textId="3A1C4E47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5434890">
        <w:rPr>
          <w:rFonts w:ascii="Aptos" w:hAnsi="Aptos" w:eastAsia="Aptos" w:cs="Aptos"/>
          <w:noProof w:val="0"/>
          <w:sz w:val="24"/>
          <w:szCs w:val="24"/>
          <w:lang w:val="fr-FR"/>
        </w:rPr>
        <w:t>“After learning.”</w:t>
      </w:r>
    </w:p>
    <w:p xmlns:wp14="http://schemas.microsoft.com/office/word/2010/wordml" w:rsidP="7629D322" wp14:paraId="477D2525" wp14:textId="22EED7C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5434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खोल बैठ जाते हैं (khol baiṭh jātē haiṁ)</w:t>
      </w:r>
      <w:r w:rsidRPr="7629D322" w:rsidR="05434890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7629D322" wp14:paraId="31E4B52C" wp14:textId="363F929E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5434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Compound verbal expression: </w:t>
      </w:r>
      <w:r w:rsidRPr="7629D322" w:rsidR="054348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open (kholnā)</w:t>
      </w:r>
      <w:r w:rsidRPr="7629D322" w:rsidR="05434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</w:t>
      </w:r>
      <w:r w:rsidRPr="7629D322" w:rsidR="054348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sit (baiṭhnā)</w:t>
      </w:r>
      <w:r w:rsidRPr="7629D322" w:rsidR="05434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“to open [something] and sit there, to establish oneself.”</w:t>
      </w:r>
    </w:p>
    <w:p xmlns:wp14="http://schemas.microsoft.com/office/word/2010/wordml" w:rsidP="7629D322" wp14:paraId="18C411BF" wp14:textId="7565C491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5434890">
        <w:rPr>
          <w:rFonts w:ascii="Aptos" w:hAnsi="Aptos" w:eastAsia="Aptos" w:cs="Aptos"/>
          <w:noProof w:val="0"/>
          <w:sz w:val="24"/>
          <w:szCs w:val="24"/>
          <w:lang w:val="fr-FR"/>
        </w:rPr>
        <w:t>Carries the nuance of permanence or occupation.</w:t>
      </w:r>
    </w:p>
    <w:p xmlns:wp14="http://schemas.microsoft.com/office/word/2010/wordml" w:rsidP="7629D322" wp14:paraId="133619CB" wp14:textId="4A42EA8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5434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-जाते हैं (jātē haiṁ)</w:t>
      </w:r>
      <w:r w:rsidRPr="7629D322" w:rsidR="05434890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7629D322" wp14:paraId="76B1D484" wp14:textId="5A079DF2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5434890">
        <w:rPr>
          <w:rFonts w:ascii="Aptos" w:hAnsi="Aptos" w:eastAsia="Aptos" w:cs="Aptos"/>
          <w:noProof w:val="0"/>
          <w:sz w:val="24"/>
          <w:szCs w:val="24"/>
          <w:lang w:val="fr-FR"/>
        </w:rPr>
        <w:t>Generalizing marker: implies a habitual or typical action.</w:t>
      </w:r>
    </w:p>
    <w:p xmlns:wp14="http://schemas.microsoft.com/office/word/2010/wordml" w:rsidP="7629D322" wp14:paraId="1DE23161" wp14:textId="24688078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5434890">
        <w:rPr>
          <w:rFonts w:ascii="Aptos" w:hAnsi="Aptos" w:eastAsia="Aptos" w:cs="Aptos"/>
          <w:noProof w:val="0"/>
          <w:sz w:val="24"/>
          <w:szCs w:val="24"/>
          <w:lang w:val="fr-FR"/>
        </w:rPr>
        <w:t>“That’s what they tend to do.”</w:t>
      </w:r>
    </w:p>
    <w:p xmlns:wp14="http://schemas.microsoft.com/office/word/2010/wordml" w:rsidP="7629D322" wp14:paraId="4B4786A7" wp14:textId="369465C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629D322" wp14:paraId="3A202142" wp14:textId="676BE689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29D322" w:rsidR="7609587A">
        <w:rPr>
          <w:noProof w:val="0"/>
          <w:lang w:val="fr-FR"/>
        </w:rPr>
        <w:t xml:space="preserve">🪔 </w:t>
      </w:r>
      <w:r w:rsidRPr="7629D322" w:rsidR="0F1AF93C">
        <w:rPr>
          <w:noProof w:val="0"/>
          <w:lang w:val="fr-FR"/>
        </w:rPr>
        <w:t>Cultural and spiritual notes</w:t>
      </w:r>
    </w:p>
    <w:p xmlns:wp14="http://schemas.microsoft.com/office/word/2010/wordml" w:rsidP="7629D322" wp14:paraId="2D56736B" wp14:textId="6D7B237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F1AF9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Surface knowledge vs. spiritual authority</w:t>
      </w:r>
      <w:r w:rsidRPr="7629D322" w:rsidR="0F1AF9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The line criticizes those who, after acquiring only superficial knowledge of the </w:t>
      </w:r>
      <w:r w:rsidRPr="7629D322" w:rsidR="0F1AF9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Granth</w:t>
      </w:r>
      <w:r w:rsidRPr="7629D322" w:rsidR="0F1AF93C">
        <w:rPr>
          <w:rFonts w:ascii="Aptos" w:hAnsi="Aptos" w:eastAsia="Aptos" w:cs="Aptos"/>
          <w:noProof w:val="0"/>
          <w:sz w:val="24"/>
          <w:szCs w:val="24"/>
          <w:lang w:val="fr-FR"/>
        </w:rPr>
        <w:t>, feel entitled to open a gurdwārā.</w:t>
      </w:r>
    </w:p>
    <w:p xmlns:wp14="http://schemas.microsoft.com/office/word/2010/wordml" w:rsidP="7629D322" wp14:paraId="60F3BCF9" wp14:textId="6CF68BD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F1AF9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Gurdwārās multiplying</w:t>
      </w:r>
      <w:r w:rsidRPr="7629D322" w:rsidR="0F1AF93C">
        <w:rPr>
          <w:rFonts w:ascii="Aptos" w:hAnsi="Aptos" w:eastAsia="Aptos" w:cs="Aptos"/>
          <w:noProof w:val="0"/>
          <w:sz w:val="24"/>
          <w:szCs w:val="24"/>
          <w:lang w:val="fr-FR"/>
        </w:rPr>
        <w:t>: In Sikh history and also in modern India, new temples can be set up for status, donations, or influence.</w:t>
      </w:r>
    </w:p>
    <w:p xmlns:wp14="http://schemas.microsoft.com/office/word/2010/wordml" w:rsidP="7629D322" wp14:paraId="3D221EA6" wp14:textId="60E1890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F1AF9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Metaphor of a “shop”</w:t>
      </w:r>
      <w:r w:rsidRPr="7629D322" w:rsidR="0F1AF9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(from the previous line: </w:t>
      </w:r>
      <w:r w:rsidRPr="7629D322" w:rsidR="0F1AF9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दुकान खोल बैठते हैं, पैसा कमाते हैं</w:t>
      </w:r>
      <w:r w:rsidRPr="7629D322" w:rsidR="0F1AF9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“they open a shop and earn money”): religion becomes a livelihood rather than genuine service.</w:t>
      </w:r>
    </w:p>
    <w:p xmlns:wp14="http://schemas.microsoft.com/office/word/2010/wordml" w:rsidP="7629D322" wp14:paraId="111C5328" wp14:textId="08BDC4E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F1AF9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BK interpretation</w:t>
      </w:r>
      <w:r w:rsidRPr="7629D322" w:rsidR="0F1AF93C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7629D322" wp14:paraId="18574591" wp14:textId="1BAECF29">
      <w:pPr>
        <w:pStyle w:val="ListParagraph"/>
        <w:numPr>
          <w:ilvl w:val="1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F1AF93C">
        <w:rPr>
          <w:rFonts w:ascii="Aptos" w:hAnsi="Aptos" w:eastAsia="Aptos" w:cs="Aptos"/>
          <w:noProof w:val="0"/>
          <w:sz w:val="24"/>
          <w:szCs w:val="24"/>
          <w:lang w:val="fr-FR"/>
        </w:rPr>
        <w:t>The “external gurdwārā” = physical building, outward religion, sometimes tied to money/status.</w:t>
      </w:r>
    </w:p>
    <w:p xmlns:wp14="http://schemas.microsoft.com/office/word/2010/wordml" w:rsidP="7629D322" wp14:paraId="09DAD859" wp14:textId="0649AD6E">
      <w:pPr>
        <w:pStyle w:val="ListParagraph"/>
        <w:numPr>
          <w:ilvl w:val="1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0F1AF9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“true Gurū-dvārā” = inner door of the Satguru, which leads to </w:t>
      </w:r>
      <w:r w:rsidRPr="7629D322" w:rsidR="0F1AF9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mukti</w:t>
      </w:r>
      <w:r w:rsidRPr="7629D322" w:rsidR="0F1AF9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(liberation) and </w:t>
      </w:r>
      <w:r w:rsidRPr="7629D322" w:rsidR="0F1AF9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jīvanmukti</w:t>
      </w:r>
      <w:r w:rsidRPr="7629D322" w:rsidR="0F1AF9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(liberation while alive).</w:t>
      </w:r>
    </w:p>
    <w:p xmlns:wp14="http://schemas.microsoft.com/office/word/2010/wordml" w:rsidP="7629D322" wp14:paraId="3A18EEEA" wp14:textId="2DB94A2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629D322" wp14:paraId="255F2838" wp14:textId="2DC7FB21">
      <w:pPr>
        <w:pStyle w:val="Heading2"/>
        <w:rPr>
          <w:noProof w:val="0"/>
          <w:lang w:val="fr-FR"/>
        </w:rPr>
      </w:pPr>
      <w:r w:rsidRPr="7629D322" w:rsidR="785B6121">
        <w:rPr>
          <w:noProof w:val="0"/>
          <w:lang w:val="fr-FR"/>
        </w:rPr>
        <w:t xml:space="preserve">✅  </w:t>
      </w:r>
      <w:r w:rsidRPr="7629D322" w:rsidR="785B6121">
        <w:rPr>
          <w:noProof w:val="0"/>
          <w:lang w:val="fr-FR"/>
        </w:rPr>
        <w:t>Summary</w:t>
      </w:r>
    </w:p>
    <w:p xmlns:wp14="http://schemas.microsoft.com/office/word/2010/wordml" w:rsidP="7629D322" wp14:paraId="0BB7284E" wp14:textId="08343121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785B612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7629D322" w:rsidR="785B612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Granth</w:t>
      </w:r>
      <w:r w:rsidRPr="7629D322" w:rsidR="785B612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Guru Granth Sahib, revered as the living Guru.</w:t>
      </w:r>
    </w:p>
    <w:p xmlns:wp14="http://schemas.microsoft.com/office/word/2010/wordml" w:rsidP="7629D322" wp14:paraId="6E1C79B3" wp14:textId="3692C92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785B612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7629D322" w:rsidR="785B612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gurdwārā</w:t>
      </w:r>
      <w:r w:rsidRPr="7629D322" w:rsidR="785B612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Sikh temple, place of prayer and service.</w:t>
      </w:r>
    </w:p>
    <w:p xmlns:wp14="http://schemas.microsoft.com/office/word/2010/wordml" w:rsidP="7629D322" wp14:paraId="371D6B88" wp14:textId="2C5AE69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29D322" w:rsidR="785B6121">
        <w:rPr>
          <w:rFonts w:ascii="Aptos" w:hAnsi="Aptos" w:eastAsia="Aptos" w:cs="Aptos"/>
          <w:noProof w:val="0"/>
          <w:sz w:val="24"/>
          <w:szCs w:val="24"/>
          <w:lang w:val="fr-FR"/>
        </w:rPr>
        <w:t>The sentence criticizes those who, with only shallow knowledge of scripture, open such temples and settle as spiritual authorities — turning spirituality into livelihood.</w:t>
      </w:r>
    </w:p>
    <w:p xmlns:wp14="http://schemas.microsoft.com/office/word/2010/wordml" w:rsidP="7629D322" wp14:paraId="7F4372E3" wp14:textId="6F1CC2A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629D322" wp14:paraId="2BD9C2DE" wp14:textId="686D8EF6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29D322" w:rsidR="7609587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7629D322" wp14:paraId="3BFEFB25" wp14:textId="7A9B628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5d8d63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8463b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aa0a9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4f121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9c65b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205bf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43eac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f4ed7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dc9e4d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006f9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2F2CA7"/>
    <w:rsid w:val="05434890"/>
    <w:rsid w:val="086B31B0"/>
    <w:rsid w:val="08789113"/>
    <w:rsid w:val="08EE6E69"/>
    <w:rsid w:val="099A5F01"/>
    <w:rsid w:val="0B2AFBBF"/>
    <w:rsid w:val="0F1AF93C"/>
    <w:rsid w:val="1A25AB96"/>
    <w:rsid w:val="2244F7DF"/>
    <w:rsid w:val="2BC60C37"/>
    <w:rsid w:val="2E559640"/>
    <w:rsid w:val="38716A3D"/>
    <w:rsid w:val="38A92BC4"/>
    <w:rsid w:val="47FA47DD"/>
    <w:rsid w:val="5411BC16"/>
    <w:rsid w:val="562A1DDB"/>
    <w:rsid w:val="56BF570F"/>
    <w:rsid w:val="585EADAB"/>
    <w:rsid w:val="59B323CC"/>
    <w:rsid w:val="6E2F2CA7"/>
    <w:rsid w:val="70A67A61"/>
    <w:rsid w:val="70BDE6D3"/>
    <w:rsid w:val="7487363E"/>
    <w:rsid w:val="7609587A"/>
    <w:rsid w:val="7629D322"/>
    <w:rsid w:val="785B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F2CA7"/>
  <w15:chartTrackingRefBased/>
  <w15:docId w15:val="{CF5A7153-3C5A-4067-82A9-11D34BD1B4B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629D32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629D32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629D32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ae001bcc358437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2025-09-27T09:16:08.3552606Z</dcterms:created>
  <dcterms:modified xsi:type="dcterms:W3CDTF">2025-09-27T09:32:37.5956096Z</dcterms:modified>
  <dc:creator>Jacques VUILLAUME</dc:creator>
  <lastModifiedBy>Jacques VUILLAUME</lastModifiedBy>
</coreProperties>
</file>