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DFEE37D" wp14:paraId="1CFE2ED8" wp14:textId="5FB665DF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DFEE37D" w:rsidR="1DDA39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15 octobre 2026</w:t>
      </w:r>
    </w:p>
    <w:p xmlns:wp14="http://schemas.microsoft.com/office/word/2010/wordml" w:rsidP="6DFEE37D" wp14:paraId="23F77EAA" wp14:textId="3ACBFFC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DFEE37D" wp14:paraId="75A15AD6" wp14:textId="1DA00221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DFEE37D" w:rsidR="1DDA39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15 octobre 2026</w:t>
      </w:r>
    </w:p>
    <w:p xmlns:wp14="http://schemas.microsoft.com/office/word/2010/wordml" w:rsidP="6DFEE37D" wp14:paraId="276DDD46" wp14:textId="68107D4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DFEE37D" wp14:paraId="70F51190" wp14:textId="2B0EE323">
      <w:pPr>
        <w:spacing w:after="0" w:afterAutospacing="off"/>
      </w:pPr>
      <w:r w:rsidRPr="6DFEE37D" w:rsidR="1DDA397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DFEE37D" wp14:paraId="71B47C2B" wp14:textId="4B69CCE9">
      <w:pPr>
        <w:pStyle w:val="Normal"/>
        <w:spacing w:after="0" w:afterAutospacing="off"/>
      </w:pPr>
      <w:r w:rsidRPr="6DFEE37D" w:rsidR="1DDA3979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पवित्र बनें तो शरीर भी पवित्र मिले।</w:t>
      </w:r>
    </w:p>
    <w:p xmlns:wp14="http://schemas.microsoft.com/office/word/2010/wordml" w:rsidP="6DFEE37D" wp14:paraId="08D97B1F" wp14:textId="17A78BB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DFEE37D" wp14:paraId="751A5E16" wp14:textId="180FFF5E">
      <w:pPr>
        <w:spacing w:after="0" w:afterAutospacing="off"/>
      </w:pPr>
      <w:r w:rsidRPr="6DFEE37D" w:rsidR="1DDA397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DFEE37D" wp14:paraId="61E59E49" wp14:textId="099CFDA4">
      <w:pPr>
        <w:pStyle w:val="Normal"/>
        <w:spacing w:after="0" w:afterAutospacing="off"/>
      </w:pPr>
      <w:r w:rsidRPr="6DFEE37D" w:rsidR="1DDA3979">
        <w:rPr>
          <w:rFonts w:ascii="Aptos" w:hAnsi="Aptos" w:eastAsia="Aptos" w:cs="Aptos"/>
          <w:noProof w:val="0"/>
          <w:sz w:val="24"/>
          <w:szCs w:val="24"/>
          <w:lang w:val="fr-FR"/>
        </w:rPr>
        <w:t>Ātmā pavitra baneṃ to śarīr bhī pavitra mile.</w:t>
      </w:r>
    </w:p>
    <w:p xmlns:wp14="http://schemas.microsoft.com/office/word/2010/wordml" w:rsidP="6DFEE37D" wp14:paraId="7C0E22A3" wp14:textId="284B709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DFEE37D" wp14:paraId="6599F2F0" wp14:textId="244E8207">
      <w:pPr>
        <w:spacing w:after="0" w:afterAutospacing="off"/>
      </w:pPr>
      <w:r w:rsidRPr="6DFEE37D" w:rsidR="1DDA397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DFEE37D" wp14:paraId="56720A33" wp14:textId="1B11E58A">
      <w:pPr>
        <w:spacing w:after="0" w:afterAutospacing="off"/>
      </w:pPr>
      <w:r w:rsidRPr="6DFEE37D" w:rsidR="1DDA3979">
        <w:rPr>
          <w:rFonts w:ascii="Aptos" w:hAnsi="Aptos" w:eastAsia="Aptos" w:cs="Aptos"/>
          <w:noProof w:val="0"/>
          <w:sz w:val="24"/>
          <w:szCs w:val="24"/>
          <w:lang w:val="fr-FR"/>
        </w:rPr>
        <w:t>« Si l’âme devient pure, elle recevra également un corps pur. »</w:t>
      </w:r>
    </w:p>
    <w:p xmlns:wp14="http://schemas.microsoft.com/office/word/2010/wordml" w:rsidP="6DFEE37D" wp14:paraId="19D21BD7" wp14:textId="18CEFE02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DFEE37D" wp14:paraId="0FF02893" wp14:textId="16E6C48C">
      <w:pPr>
        <w:spacing w:after="0" w:afterAutospacing="off"/>
      </w:pPr>
      <w:r w:rsidRPr="6DFEE37D" w:rsidR="1DDA3979">
        <w:rPr>
          <w:rFonts w:ascii="Aptos" w:hAnsi="Aptos" w:eastAsia="Aptos" w:cs="Aptos"/>
          <w:noProof w:val="0"/>
          <w:sz w:val="24"/>
          <w:szCs w:val="24"/>
          <w:lang w:val="fr-FR"/>
        </w:rPr>
        <w:t>Plus littéralement :</w:t>
      </w:r>
    </w:p>
    <w:p xmlns:wp14="http://schemas.microsoft.com/office/word/2010/wordml" w:rsidP="6DFEE37D" wp14:paraId="4B6C61B5" wp14:textId="645D081E">
      <w:pPr>
        <w:spacing w:after="0" w:afterAutospacing="off"/>
      </w:pPr>
      <w:r w:rsidRPr="6DFEE37D" w:rsidR="1DDA3979">
        <w:rPr>
          <w:rFonts w:ascii="Aptos" w:hAnsi="Aptos" w:eastAsia="Aptos" w:cs="Aptos"/>
          <w:noProof w:val="0"/>
          <w:sz w:val="24"/>
          <w:szCs w:val="24"/>
          <w:lang w:val="fr-FR"/>
        </w:rPr>
        <w:t>« Si l’âme devient pure, alors un corps pur aussi lui sera donné. »</w:t>
      </w:r>
    </w:p>
    <w:p xmlns:wp14="http://schemas.microsoft.com/office/word/2010/wordml" w:rsidP="6DFEE37D" wp14:paraId="011F7C96" wp14:textId="01409F81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DFEE37D" wp14:paraId="7F2E59E8" wp14:textId="6933ED0C">
      <w:pPr>
        <w:spacing w:after="0" w:afterAutospacing="off"/>
      </w:pPr>
      <w:r w:rsidRPr="6DFEE37D" w:rsidR="1DDA3979">
        <w:rPr>
          <w:rFonts w:ascii="Aptos" w:hAnsi="Aptos" w:eastAsia="Aptos" w:cs="Aptos"/>
          <w:noProof w:val="0"/>
          <w:sz w:val="24"/>
          <w:szCs w:val="24"/>
          <w:lang w:val="fr-FR"/>
        </w:rPr>
        <w:t>La phrase établit un lien entre la pureté de l’âme et celle du corps qu’elle recevra.</w:t>
      </w:r>
    </w:p>
    <w:p xmlns:wp14="http://schemas.microsoft.com/office/word/2010/wordml" w:rsidP="6DFEE37D" wp14:paraId="29C7DCD3" wp14:textId="039FA56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DFEE37D" wp14:paraId="6330BE80" wp14:textId="3E5B867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DFEE37D" w:rsidR="1DDA39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87"/>
        <w:gridCol w:w="1922"/>
        <w:gridCol w:w="3135"/>
      </w:tblGrid>
      <w:tr w:rsidR="6DFEE37D" w:rsidTr="6DFEE37D" w14:paraId="4A309F38">
        <w:trPr>
          <w:trHeight w:val="300"/>
        </w:trPr>
        <w:tc>
          <w:tcPr>
            <w:tcW w:w="887" w:type="dxa"/>
            <w:tcMar/>
            <w:vAlign w:val="center"/>
          </w:tcPr>
          <w:p w:rsidR="6DFEE37D" w:rsidP="6DFEE37D" w:rsidRDefault="6DFEE37D" w14:paraId="21B396F9" w14:textId="7D7F719B">
            <w:pPr>
              <w:pStyle w:val="Normal"/>
              <w:bidi w:val="0"/>
              <w:rPr>
                <w:b w:val="1"/>
                <w:bCs w:val="1"/>
              </w:rPr>
            </w:pPr>
            <w:r w:rsidRPr="6DFEE37D" w:rsidR="6DFEE37D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6DFEE37D" w:rsidP="6DFEE37D" w:rsidRDefault="6DFEE37D" w14:paraId="6D31E65F" w14:textId="0C8967E9">
            <w:pPr>
              <w:pStyle w:val="Normal"/>
              <w:bidi w:val="0"/>
              <w:rPr>
                <w:b w:val="1"/>
                <w:bCs w:val="1"/>
              </w:rPr>
            </w:pPr>
            <w:r w:rsidRPr="6DFEE37D" w:rsidR="6DFEE37D">
              <w:rPr>
                <w:b w:val="1"/>
                <w:bCs w:val="1"/>
              </w:rPr>
              <w:t>Translittération</w:t>
            </w:r>
          </w:p>
        </w:tc>
        <w:tc>
          <w:tcPr>
            <w:tcW w:w="3135" w:type="dxa"/>
            <w:tcMar/>
            <w:vAlign w:val="center"/>
          </w:tcPr>
          <w:p w:rsidR="6DFEE37D" w:rsidP="6DFEE37D" w:rsidRDefault="6DFEE37D" w14:paraId="7F7F22F2" w14:textId="73613159">
            <w:pPr>
              <w:pStyle w:val="Normal"/>
              <w:bidi w:val="0"/>
              <w:rPr>
                <w:b w:val="1"/>
                <w:bCs w:val="1"/>
              </w:rPr>
            </w:pPr>
            <w:r w:rsidRPr="6DFEE37D" w:rsidR="6DFEE37D">
              <w:rPr>
                <w:b w:val="1"/>
                <w:bCs w:val="1"/>
              </w:rPr>
              <w:t>Signification</w:t>
            </w:r>
          </w:p>
        </w:tc>
      </w:tr>
      <w:tr w:rsidR="6DFEE37D" w:rsidTr="6DFEE37D" w14:paraId="74DF4294">
        <w:trPr>
          <w:trHeight w:val="300"/>
        </w:trPr>
        <w:tc>
          <w:tcPr>
            <w:tcW w:w="887" w:type="dxa"/>
            <w:tcMar/>
            <w:vAlign w:val="center"/>
          </w:tcPr>
          <w:p w:rsidR="6DFEE37D" w:rsidP="6DFEE37D" w:rsidRDefault="6DFEE37D" w14:paraId="54E8D0E4" w14:textId="38D79A7E">
            <w:pPr>
              <w:pStyle w:val="Normal"/>
              <w:bidi w:val="0"/>
            </w:pPr>
            <w:r w:rsidR="6DFEE37D">
              <w:rPr/>
              <w:t>आत्मा</w:t>
            </w:r>
          </w:p>
        </w:tc>
        <w:tc>
          <w:tcPr>
            <w:tcW w:w="1922" w:type="dxa"/>
            <w:tcMar/>
            <w:vAlign w:val="center"/>
          </w:tcPr>
          <w:p w:rsidR="6DFEE37D" w:rsidP="6DFEE37D" w:rsidRDefault="6DFEE37D" w14:paraId="72752AC1" w14:textId="62851C38">
            <w:pPr>
              <w:pStyle w:val="Normal"/>
              <w:bidi w:val="0"/>
            </w:pPr>
            <w:r w:rsidR="6DFEE37D">
              <w:rPr/>
              <w:t>ātmā</w:t>
            </w:r>
          </w:p>
        </w:tc>
        <w:tc>
          <w:tcPr>
            <w:tcW w:w="3135" w:type="dxa"/>
            <w:tcMar/>
            <w:vAlign w:val="center"/>
          </w:tcPr>
          <w:p w:rsidR="6DFEE37D" w:rsidP="6DFEE37D" w:rsidRDefault="6DFEE37D" w14:paraId="6B6422EA" w14:textId="0B114220">
            <w:pPr>
              <w:pStyle w:val="Normal"/>
              <w:bidi w:val="0"/>
            </w:pPr>
            <w:r w:rsidR="6DFEE37D">
              <w:rPr/>
              <w:t>âme</w:t>
            </w:r>
          </w:p>
        </w:tc>
      </w:tr>
      <w:tr w:rsidR="6DFEE37D" w:rsidTr="6DFEE37D" w14:paraId="76613044">
        <w:trPr>
          <w:trHeight w:val="300"/>
        </w:trPr>
        <w:tc>
          <w:tcPr>
            <w:tcW w:w="887" w:type="dxa"/>
            <w:tcMar/>
            <w:vAlign w:val="center"/>
          </w:tcPr>
          <w:p w:rsidR="6DFEE37D" w:rsidP="6DFEE37D" w:rsidRDefault="6DFEE37D" w14:paraId="037E1B59" w14:textId="29ABF716">
            <w:pPr>
              <w:pStyle w:val="Normal"/>
              <w:bidi w:val="0"/>
            </w:pPr>
            <w:r w:rsidR="6DFEE37D">
              <w:rPr/>
              <w:t>पवित्र</w:t>
            </w:r>
          </w:p>
        </w:tc>
        <w:tc>
          <w:tcPr>
            <w:tcW w:w="1922" w:type="dxa"/>
            <w:tcMar/>
            <w:vAlign w:val="center"/>
          </w:tcPr>
          <w:p w:rsidR="6DFEE37D" w:rsidP="6DFEE37D" w:rsidRDefault="6DFEE37D" w14:paraId="679AD232" w14:textId="487F07FC">
            <w:pPr>
              <w:pStyle w:val="Normal"/>
              <w:bidi w:val="0"/>
            </w:pPr>
            <w:r w:rsidR="6DFEE37D">
              <w:rPr/>
              <w:t>pavitra</w:t>
            </w:r>
          </w:p>
        </w:tc>
        <w:tc>
          <w:tcPr>
            <w:tcW w:w="3135" w:type="dxa"/>
            <w:tcMar/>
            <w:vAlign w:val="center"/>
          </w:tcPr>
          <w:p w:rsidR="6DFEE37D" w:rsidP="6DFEE37D" w:rsidRDefault="6DFEE37D" w14:paraId="594FF9BC" w14:textId="726520C9">
            <w:pPr>
              <w:pStyle w:val="Normal"/>
              <w:bidi w:val="0"/>
            </w:pPr>
            <w:r w:rsidR="6DFEE37D">
              <w:rPr/>
              <w:t>pur, purifié</w:t>
            </w:r>
          </w:p>
        </w:tc>
      </w:tr>
      <w:tr w:rsidR="6DFEE37D" w:rsidTr="6DFEE37D" w14:paraId="3DE5D359">
        <w:trPr>
          <w:trHeight w:val="300"/>
        </w:trPr>
        <w:tc>
          <w:tcPr>
            <w:tcW w:w="887" w:type="dxa"/>
            <w:tcMar/>
            <w:vAlign w:val="center"/>
          </w:tcPr>
          <w:p w:rsidR="6DFEE37D" w:rsidP="6DFEE37D" w:rsidRDefault="6DFEE37D" w14:paraId="49C3464B" w14:textId="5E5607BC">
            <w:pPr>
              <w:pStyle w:val="Normal"/>
              <w:bidi w:val="0"/>
            </w:pPr>
            <w:r w:rsidR="6DFEE37D">
              <w:rPr/>
              <w:t>बनें</w:t>
            </w:r>
          </w:p>
        </w:tc>
        <w:tc>
          <w:tcPr>
            <w:tcW w:w="1922" w:type="dxa"/>
            <w:tcMar/>
            <w:vAlign w:val="center"/>
          </w:tcPr>
          <w:p w:rsidR="6DFEE37D" w:rsidP="6DFEE37D" w:rsidRDefault="6DFEE37D" w14:paraId="492D346F" w14:textId="03CBA810">
            <w:pPr>
              <w:pStyle w:val="Normal"/>
              <w:bidi w:val="0"/>
            </w:pPr>
            <w:r w:rsidR="6DFEE37D">
              <w:rPr/>
              <w:t>baneṃ</w:t>
            </w:r>
          </w:p>
        </w:tc>
        <w:tc>
          <w:tcPr>
            <w:tcW w:w="3135" w:type="dxa"/>
            <w:tcMar/>
            <w:vAlign w:val="center"/>
          </w:tcPr>
          <w:p w:rsidR="6DFEE37D" w:rsidP="6DFEE37D" w:rsidRDefault="6DFEE37D" w14:paraId="5B0FC719" w14:textId="0542B6B6">
            <w:pPr>
              <w:pStyle w:val="Normal"/>
              <w:bidi w:val="0"/>
            </w:pPr>
            <w:r w:rsidR="6DFEE37D">
              <w:rPr/>
              <w:t>devienne, deviennent</w:t>
            </w:r>
          </w:p>
        </w:tc>
      </w:tr>
      <w:tr w:rsidR="6DFEE37D" w:rsidTr="6DFEE37D" w14:paraId="2CDD2E79">
        <w:trPr>
          <w:trHeight w:val="300"/>
        </w:trPr>
        <w:tc>
          <w:tcPr>
            <w:tcW w:w="887" w:type="dxa"/>
            <w:tcMar/>
            <w:vAlign w:val="center"/>
          </w:tcPr>
          <w:p w:rsidR="6DFEE37D" w:rsidP="6DFEE37D" w:rsidRDefault="6DFEE37D" w14:paraId="176D60D0" w14:textId="08B1977A">
            <w:pPr>
              <w:pStyle w:val="Normal"/>
              <w:bidi w:val="0"/>
            </w:pPr>
            <w:r w:rsidR="6DFEE37D">
              <w:rPr/>
              <w:t>तो</w:t>
            </w:r>
          </w:p>
        </w:tc>
        <w:tc>
          <w:tcPr>
            <w:tcW w:w="1922" w:type="dxa"/>
            <w:tcMar/>
            <w:vAlign w:val="center"/>
          </w:tcPr>
          <w:p w:rsidR="6DFEE37D" w:rsidP="6DFEE37D" w:rsidRDefault="6DFEE37D" w14:paraId="1E708274" w14:textId="3C7B4295">
            <w:pPr>
              <w:pStyle w:val="Normal"/>
              <w:bidi w:val="0"/>
            </w:pPr>
            <w:r w:rsidR="6DFEE37D">
              <w:rPr/>
              <w:t>to</w:t>
            </w:r>
          </w:p>
        </w:tc>
        <w:tc>
          <w:tcPr>
            <w:tcW w:w="3135" w:type="dxa"/>
            <w:tcMar/>
            <w:vAlign w:val="center"/>
          </w:tcPr>
          <w:p w:rsidR="6DFEE37D" w:rsidP="6DFEE37D" w:rsidRDefault="6DFEE37D" w14:paraId="70D64ECC" w14:textId="008B7F8C">
            <w:pPr>
              <w:pStyle w:val="Normal"/>
              <w:bidi w:val="0"/>
            </w:pPr>
            <w:r w:rsidR="6DFEE37D">
              <w:rPr/>
              <w:t>alors, dans ce cas</w:t>
            </w:r>
          </w:p>
        </w:tc>
      </w:tr>
      <w:tr w:rsidR="6DFEE37D" w:rsidTr="6DFEE37D" w14:paraId="209BE505">
        <w:trPr>
          <w:trHeight w:val="300"/>
        </w:trPr>
        <w:tc>
          <w:tcPr>
            <w:tcW w:w="887" w:type="dxa"/>
            <w:tcMar/>
            <w:vAlign w:val="center"/>
          </w:tcPr>
          <w:p w:rsidR="6DFEE37D" w:rsidP="6DFEE37D" w:rsidRDefault="6DFEE37D" w14:paraId="54E672BC" w14:textId="7D94FE90">
            <w:pPr>
              <w:pStyle w:val="Normal"/>
              <w:bidi w:val="0"/>
            </w:pPr>
            <w:r w:rsidR="6DFEE37D">
              <w:rPr/>
              <w:t>शरीर</w:t>
            </w:r>
          </w:p>
        </w:tc>
        <w:tc>
          <w:tcPr>
            <w:tcW w:w="1922" w:type="dxa"/>
            <w:tcMar/>
            <w:vAlign w:val="center"/>
          </w:tcPr>
          <w:p w:rsidR="6DFEE37D" w:rsidP="6DFEE37D" w:rsidRDefault="6DFEE37D" w14:paraId="0A8B43BD" w14:textId="17F9C39B">
            <w:pPr>
              <w:pStyle w:val="Normal"/>
              <w:bidi w:val="0"/>
            </w:pPr>
            <w:r w:rsidR="6DFEE37D">
              <w:rPr/>
              <w:t>śarīr</w:t>
            </w:r>
          </w:p>
        </w:tc>
        <w:tc>
          <w:tcPr>
            <w:tcW w:w="3135" w:type="dxa"/>
            <w:tcMar/>
            <w:vAlign w:val="center"/>
          </w:tcPr>
          <w:p w:rsidR="6DFEE37D" w:rsidP="6DFEE37D" w:rsidRDefault="6DFEE37D" w14:paraId="15101B8C" w14:textId="7DAA227F">
            <w:pPr>
              <w:pStyle w:val="Normal"/>
              <w:bidi w:val="0"/>
            </w:pPr>
            <w:r w:rsidR="6DFEE37D">
              <w:rPr/>
              <w:t>corps</w:t>
            </w:r>
          </w:p>
        </w:tc>
      </w:tr>
      <w:tr w:rsidR="6DFEE37D" w:rsidTr="6DFEE37D" w14:paraId="363DA362">
        <w:trPr>
          <w:trHeight w:val="300"/>
        </w:trPr>
        <w:tc>
          <w:tcPr>
            <w:tcW w:w="887" w:type="dxa"/>
            <w:tcMar/>
            <w:vAlign w:val="center"/>
          </w:tcPr>
          <w:p w:rsidR="6DFEE37D" w:rsidP="6DFEE37D" w:rsidRDefault="6DFEE37D" w14:paraId="0E9A583A" w14:textId="659461A1">
            <w:pPr>
              <w:pStyle w:val="Normal"/>
              <w:bidi w:val="0"/>
            </w:pPr>
            <w:r w:rsidR="6DFEE37D">
              <w:rPr/>
              <w:t>भी</w:t>
            </w:r>
          </w:p>
        </w:tc>
        <w:tc>
          <w:tcPr>
            <w:tcW w:w="1922" w:type="dxa"/>
            <w:tcMar/>
            <w:vAlign w:val="center"/>
          </w:tcPr>
          <w:p w:rsidR="6DFEE37D" w:rsidP="6DFEE37D" w:rsidRDefault="6DFEE37D" w14:paraId="239A7492" w14:textId="261A4A41">
            <w:pPr>
              <w:pStyle w:val="Normal"/>
              <w:bidi w:val="0"/>
            </w:pPr>
            <w:r w:rsidR="6DFEE37D">
              <w:rPr/>
              <w:t>bhī</w:t>
            </w:r>
          </w:p>
        </w:tc>
        <w:tc>
          <w:tcPr>
            <w:tcW w:w="3135" w:type="dxa"/>
            <w:tcMar/>
            <w:vAlign w:val="center"/>
          </w:tcPr>
          <w:p w:rsidR="6DFEE37D" w:rsidP="6DFEE37D" w:rsidRDefault="6DFEE37D" w14:paraId="695DB9BD" w14:textId="1A2FF8A9">
            <w:pPr>
              <w:pStyle w:val="Normal"/>
              <w:bidi w:val="0"/>
            </w:pPr>
            <w:r w:rsidR="6DFEE37D">
              <w:rPr/>
              <w:t>aussi, également</w:t>
            </w:r>
          </w:p>
        </w:tc>
      </w:tr>
      <w:tr w:rsidR="6DFEE37D" w:rsidTr="6DFEE37D" w14:paraId="1AEB7B72">
        <w:trPr>
          <w:trHeight w:val="300"/>
        </w:trPr>
        <w:tc>
          <w:tcPr>
            <w:tcW w:w="887" w:type="dxa"/>
            <w:tcMar/>
            <w:vAlign w:val="center"/>
          </w:tcPr>
          <w:p w:rsidR="6DFEE37D" w:rsidP="6DFEE37D" w:rsidRDefault="6DFEE37D" w14:paraId="0524D585" w14:textId="3F53D1A9">
            <w:pPr>
              <w:pStyle w:val="Normal"/>
              <w:bidi w:val="0"/>
            </w:pPr>
            <w:r w:rsidR="6DFEE37D">
              <w:rPr/>
              <w:t>मिले</w:t>
            </w:r>
          </w:p>
        </w:tc>
        <w:tc>
          <w:tcPr>
            <w:tcW w:w="1922" w:type="dxa"/>
            <w:tcMar/>
            <w:vAlign w:val="center"/>
          </w:tcPr>
          <w:p w:rsidR="6DFEE37D" w:rsidP="6DFEE37D" w:rsidRDefault="6DFEE37D" w14:paraId="2423AB10" w14:textId="71191F63">
            <w:pPr>
              <w:pStyle w:val="Normal"/>
              <w:bidi w:val="0"/>
            </w:pPr>
            <w:r w:rsidR="6DFEE37D">
              <w:rPr/>
              <w:t>mile</w:t>
            </w:r>
          </w:p>
        </w:tc>
        <w:tc>
          <w:tcPr>
            <w:tcW w:w="3135" w:type="dxa"/>
            <w:tcMar/>
            <w:vAlign w:val="center"/>
          </w:tcPr>
          <w:p w:rsidR="6DFEE37D" w:rsidP="6DFEE37D" w:rsidRDefault="6DFEE37D" w14:paraId="287EE200" w14:textId="149431A9">
            <w:pPr>
              <w:pStyle w:val="Normal"/>
              <w:bidi w:val="0"/>
            </w:pPr>
            <w:r w:rsidR="6DFEE37D">
              <w:rPr/>
              <w:t>soit obtenu, soit reçu</w:t>
            </w:r>
          </w:p>
        </w:tc>
      </w:tr>
    </w:tbl>
    <w:p xmlns:wp14="http://schemas.microsoft.com/office/word/2010/wordml" w:rsidP="6DFEE37D" wp14:paraId="6170060C" wp14:textId="526D9548">
      <w:pPr>
        <w:bidi w:val="0"/>
        <w:spacing w:before="240" w:beforeAutospacing="off" w:after="240" w:afterAutospacing="off"/>
      </w:pPr>
      <w:r w:rsidRPr="6DFEE37D" w:rsidR="6D7EA1F2">
        <w:rPr>
          <w:rFonts w:ascii="Aptos" w:hAnsi="Aptos" w:eastAsia="Aptos" w:cs="Aptos"/>
          <w:noProof w:val="0"/>
          <w:sz w:val="24"/>
          <w:szCs w:val="24"/>
          <w:lang w:val="fr-FR"/>
        </w:rPr>
        <w:t>Deux expressions importantes :</w:t>
      </w:r>
    </w:p>
    <w:p xmlns:wp14="http://schemas.microsoft.com/office/word/2010/wordml" w:rsidP="6DFEE37D" wp14:paraId="3C07FF7A" wp14:textId="6B3D0CE9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FEE37D" w:rsidR="6D7EA1F2">
        <w:rPr>
          <w:rFonts w:ascii="Aptos" w:hAnsi="Aptos" w:eastAsia="Aptos" w:cs="Aptos"/>
          <w:noProof w:val="0"/>
          <w:sz w:val="24"/>
          <w:szCs w:val="24"/>
          <w:lang w:val="fr-FR"/>
        </w:rPr>
        <w:t>पवित्र बनना (pavitra bannā) : devenir pur. Le verbe बनना exprime une transformation, un changement d’état.</w:t>
      </w:r>
    </w:p>
    <w:p xmlns:wp14="http://schemas.microsoft.com/office/word/2010/wordml" w:rsidP="6DFEE37D" wp14:paraId="0E8BC8B2" wp14:textId="17A1DE1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FEE37D" w:rsidR="6D7EA1F2">
        <w:rPr>
          <w:rFonts w:ascii="Aptos" w:hAnsi="Aptos" w:eastAsia="Aptos" w:cs="Aptos"/>
          <w:noProof w:val="0"/>
          <w:sz w:val="24"/>
          <w:szCs w:val="24"/>
          <w:lang w:val="fr-FR"/>
        </w:rPr>
        <w:t>पवित्र शरीर मिलना (pavitra śarīr milnā) : recevoir un corps pur. Le verbe मिलना insiste sur l'obtention d'un corps et non sur sa transformation.</w:t>
      </w:r>
    </w:p>
    <w:p xmlns:wp14="http://schemas.microsoft.com/office/word/2010/wordml" w:rsidP="6DFEE37D" wp14:paraId="275A2112" wp14:textId="0D85CDB9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DFEE37D" wp14:paraId="42CEDEB2" wp14:textId="6B334EA9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DFEE37D" w:rsidR="1DDA39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DFEE37D" wp14:paraId="3EE98D1B" wp14:textId="6AC91278">
      <w:pPr>
        <w:pStyle w:val="Heading3"/>
      </w:pPr>
      <w:r w:rsidRPr="6DFEE37D" w:rsidR="412C786C">
        <w:rPr>
          <w:noProof w:val="0"/>
          <w:lang w:val="fr-FR"/>
        </w:rPr>
        <w:t>1. La construction conditionnelle : … तो …</w:t>
      </w:r>
    </w:p>
    <w:p xmlns:wp14="http://schemas.microsoft.com/office/word/2010/wordml" w:rsidP="6DFEE37D" wp14:paraId="106A9C41" wp14:textId="3E0A0400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La phrase présente une condition suivie de sa conséquence :</w:t>
      </w:r>
    </w:p>
    <w:p xmlns:wp14="http://schemas.microsoft.com/office/word/2010/wordml" w:rsidP="6DFEE37D" wp14:paraId="0076085F" wp14:textId="40BE0546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पवित्र बनें तो शरीर भी पवित्र मिले।</w:t>
      </w:r>
    </w:p>
    <w:p xmlns:wp14="http://schemas.microsoft.com/office/word/2010/wordml" w:rsidP="6DFEE37D" wp14:paraId="7E55D1DB" wp14:textId="67357AD6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Ātmā pavitra baneṃ to śarīr bhī pavitra mile.</w:t>
      </w:r>
    </w:p>
    <w:p xmlns:wp14="http://schemas.microsoft.com/office/word/2010/wordml" w:rsidP="6DFEE37D" wp14:paraId="6BF2C12C" wp14:textId="1A2EBF3A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« Si l’âme devient pure, alors elle recevra aussi un corps pur. »</w:t>
      </w:r>
    </w:p>
    <w:p xmlns:wp14="http://schemas.microsoft.com/office/word/2010/wordml" w:rsidP="6DFEE37D" wp14:paraId="19CAE965" wp14:textId="2270B4DB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En hindi, on peut construire une condition avec अगर … तो … (agar … to …, « si… alors… »).</w:t>
      </w:r>
    </w:p>
    <w:p xmlns:wp14="http://schemas.microsoft.com/office/word/2010/wordml" w:rsidP="6DFEE37D" wp14:paraId="70F873E6" wp14:textId="6C5F8D90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Mais अगर peut être omis lorsque la condition est évidente, comme ici.</w:t>
      </w:r>
    </w:p>
    <w:p xmlns:wp14="http://schemas.microsoft.com/office/word/2010/wordml" w:rsidP="6DFEE37D" wp14:paraId="5536F80D" wp14:textId="7BF54544">
      <w:pPr>
        <w:pStyle w:val="Heading3"/>
      </w:pPr>
      <w:r w:rsidRPr="6DFEE37D" w:rsidR="412C786C">
        <w:rPr>
          <w:noProof w:val="0"/>
          <w:lang w:val="fr-FR"/>
        </w:rPr>
        <w:t>2. बनें (baneṃ) : le subjonctif de बनना</w:t>
      </w:r>
    </w:p>
    <w:p xmlns:wp14="http://schemas.microsoft.com/office/word/2010/wordml" w:rsidP="6DFEE37D" wp14:paraId="0D0A7024" wp14:textId="58E2AC82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Le verbe बनना (bannā) signifie « devenir ».</w:t>
      </w:r>
    </w:p>
    <w:p xmlns:wp14="http://schemas.microsoft.com/office/word/2010/wordml" w:rsidP="6DFEE37D" wp14:paraId="67D268A3" wp14:textId="1C063E71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बनें est une forme du subjonctif, ici utilisée pour exprimer une éventualité ou une condition.</w:t>
      </w:r>
    </w:p>
    <w:p xmlns:wp14="http://schemas.microsoft.com/office/word/2010/wordml" w:rsidP="6DFEE37D" wp14:paraId="30B4AFF4" wp14:textId="3017999F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On remarque une particularité : avec आत्मा au singulier, le hindi standard emploierait normalement बने (bane). La forme बनें correspond grammaticalement au pluriel ou à une forme honorifique. Elle apparaît ici dans le style oral du Murli.</w:t>
      </w:r>
    </w:p>
    <w:p xmlns:wp14="http://schemas.microsoft.com/office/word/2010/wordml" w:rsidP="6DFEE37D" wp14:paraId="44CB827E" wp14:textId="4264D68C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Le sens reste : « si l’âme devient pure ».</w:t>
      </w:r>
    </w:p>
    <w:p xmlns:wp14="http://schemas.microsoft.com/office/word/2010/wordml" w:rsidP="6DFEE37D" wp14:paraId="6A4D2422" wp14:textId="034AC667">
      <w:pPr>
        <w:pStyle w:val="Heading3"/>
      </w:pPr>
      <w:r w:rsidRPr="6DFEE37D" w:rsidR="412C786C">
        <w:rPr>
          <w:noProof w:val="0"/>
          <w:lang w:val="fr-FR"/>
        </w:rPr>
        <w:t>3. मिले (mile) : recevoir plutôt que devenir</w:t>
      </w:r>
    </w:p>
    <w:p xmlns:wp14="http://schemas.microsoft.com/office/word/2010/wordml" w:rsidP="6DFEE37D" wp14:paraId="25DB27CF" wp14:textId="72F0E59C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Le verbe मिलना (milnā) signifie « être obtenu », « être reçu », « être accessible ».</w:t>
      </w:r>
    </w:p>
    <w:p xmlns:wp14="http://schemas.microsoft.com/office/word/2010/wordml" w:rsidP="6DFEE37D" wp14:paraId="71280790" wp14:textId="1BF3404F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xmlns:wp14="http://schemas.microsoft.com/office/word/2010/wordml" w:rsidP="6DFEE37D" wp14:paraId="0D95187E" wp14:textId="5193DB0D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शरीर भी पवित्र मिले</w:t>
      </w:r>
    </w:p>
    <w:p xmlns:wp14="http://schemas.microsoft.com/office/word/2010/wordml" w:rsidP="6DFEE37D" wp14:paraId="2B0AEC6C" wp14:textId="091840EE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Śarīr bhī pavitra mile.</w:t>
      </w:r>
    </w:p>
    <w:p xmlns:wp14="http://schemas.microsoft.com/office/word/2010/wordml" w:rsidP="6DFEE37D" wp14:paraId="096BB9FA" wp14:textId="4EEF2656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Le sujet grammatical de मिले est शरीर, « le corps ».</w:t>
      </w:r>
    </w:p>
    <w:p xmlns:wp14="http://schemas.microsoft.com/office/word/2010/wordml" w:rsidP="6DFEE37D" wp14:paraId="1E016346" wp14:textId="5D6D103F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On pourrait traduire littéralement par « qu’un corps pur soit également obtenu ».</w:t>
      </w:r>
    </w:p>
    <w:p xmlns:wp14="http://schemas.microsoft.com/office/word/2010/wordml" w:rsidP="6DFEE37D" wp14:paraId="2A57B57D" wp14:textId="492622FC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Le bénéficiaire, c’est-à-dire l’âme qui reçoit ce corps, est sous-entendu.</w:t>
      </w:r>
    </w:p>
    <w:p xmlns:wp14="http://schemas.microsoft.com/office/word/2010/wordml" w:rsidP="6DFEE37D" wp14:paraId="66170733" wp14:textId="50422140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Il est important de distinguer :</w:t>
      </w:r>
    </w:p>
    <w:p xmlns:wp14="http://schemas.microsoft.com/office/word/2010/wordml" w:rsidP="6DFEE37D" wp14:paraId="19A660C5" wp14:textId="2B9832B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शरीर पवित्र बने (śarīr pavitra bane) : le corps devient pur.</w:t>
      </w:r>
    </w:p>
    <w:p xmlns:wp14="http://schemas.microsoft.com/office/word/2010/wordml" w:rsidP="6DFEE37D" wp14:paraId="2570032B" wp14:textId="0FFD07C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शरीर पवित्र मिले (śarīr pavitra mile) : on reçoit un corps pur.</w:t>
      </w:r>
    </w:p>
    <w:p xmlns:wp14="http://schemas.microsoft.com/office/word/2010/wordml" w:rsidP="6DFEE37D" wp14:paraId="111326D4" wp14:textId="370A9BF3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La phrase originale emploie la deuxième construction.</w:t>
      </w:r>
    </w:p>
    <w:p xmlns:wp14="http://schemas.microsoft.com/office/word/2010/wordml" w:rsidP="6DFEE37D" wp14:paraId="101F8C24" wp14:textId="2034BCE2">
      <w:pPr>
        <w:pStyle w:val="Heading3"/>
      </w:pPr>
      <w:r w:rsidRPr="6DFEE37D" w:rsidR="412C786C">
        <w:rPr>
          <w:noProof w:val="0"/>
          <w:lang w:val="fr-FR"/>
        </w:rPr>
        <w:t>4. भी (bhī) : également</w:t>
      </w:r>
    </w:p>
    <w:p xmlns:wp14="http://schemas.microsoft.com/office/word/2010/wordml" w:rsidP="6DFEE37D" wp14:paraId="7671A09A" wp14:textId="56511AE3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Dans शरीर भी (śarīr bhī), भी se rapporte au corps.</w:t>
      </w:r>
    </w:p>
    <w:p xmlns:wp14="http://schemas.microsoft.com/office/word/2010/wordml" w:rsidP="6DFEE37D" wp14:paraId="2D8B7909" wp14:textId="0BF9F1B9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Il souligne que la pureté ne concerne pas uniquement l’âme : le corps reçu sera lui aussi pur.</w:t>
      </w:r>
    </w:p>
    <w:p xmlns:wp14="http://schemas.microsoft.com/office/word/2010/wordml" w:rsidP="6DFEE37D" wp14:paraId="0275B100" wp14:textId="588DC80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DFEE37D" wp14:paraId="3021EE95" wp14:textId="0B694EB7">
      <w:pPr>
        <w:pStyle w:val="Heading2"/>
      </w:pPr>
      <w:r w:rsidRPr="6DFEE37D" w:rsidR="412C786C">
        <w:rPr>
          <w:noProof w:val="0"/>
          <w:lang w:val="fr-FR"/>
        </w:rPr>
        <w:t>🌟 Sens spirituel dans le contexte BK</w:t>
      </w:r>
    </w:p>
    <w:p xmlns:wp14="http://schemas.microsoft.com/office/word/2010/wordml" w:rsidP="6DFEE37D" wp14:paraId="2D8487FF" wp14:textId="7EA76FD8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Dans l’enseignement des Brahma Kumaris, c’est l’âme qui est à l’origine de la transformation.</w:t>
      </w:r>
    </w:p>
    <w:p xmlns:wp14="http://schemas.microsoft.com/office/word/2010/wordml" w:rsidP="6DFEE37D" wp14:paraId="53CF4934" wp14:textId="173E7542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L’âme devient pure grâce au souvenir du Père, et cette pureté lui permet de recevoir un corps pur dans le monde nouveau, à l’âge d’or.</w:t>
      </w:r>
    </w:p>
    <w:p xmlns:wp14="http://schemas.microsoft.com/office/word/2010/wordml" w:rsidP="6DFEE37D" wp14:paraId="64AEC041" wp14:textId="7F023B88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La phrase souligne ainsi deux étapes :</w:t>
      </w:r>
    </w:p>
    <w:p xmlns:wp14="http://schemas.microsoft.com/office/word/2010/wordml" w:rsidP="6DFEE37D" wp14:paraId="2F1BF925" wp14:textId="57FAE5FE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पवित्र बनें</w:t>
      </w:r>
    </w:p>
    <w:p xmlns:wp14="http://schemas.microsoft.com/office/word/2010/wordml" w:rsidP="6DFEE37D" wp14:paraId="31C6C74D" wp14:textId="17CA6E82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Ātmā pavitra baneṃ</w:t>
      </w:r>
    </w:p>
    <w:p xmlns:wp14="http://schemas.microsoft.com/office/word/2010/wordml" w:rsidP="6DFEE37D" wp14:paraId="42649781" wp14:textId="22BEE3CA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L’âme devient pure</w:t>
      </w:r>
    </w:p>
    <w:p xmlns:wp14="http://schemas.microsoft.com/office/word/2010/wordml" w:rsidP="6DFEE37D" wp14:paraId="75C75349" wp14:textId="15DA1A45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शरीर भी पवित्र मिले</w:t>
      </w:r>
    </w:p>
    <w:p xmlns:wp14="http://schemas.microsoft.com/office/word/2010/wordml" w:rsidP="6DFEE37D" wp14:paraId="36836CBF" wp14:textId="3AFDE433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Śarīr bhī pavitra mile</w:t>
      </w:r>
    </w:p>
    <w:p xmlns:wp14="http://schemas.microsoft.com/office/word/2010/wordml" w:rsidP="6DFEE37D" wp14:paraId="466D081D" wp14:textId="46A6E5C2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Elle reçoit aussi un corps pur</w:t>
      </w:r>
    </w:p>
    <w:p xmlns:wp14="http://schemas.microsoft.com/office/word/2010/wordml" w:rsidP="6DFEE37D" wp14:paraId="3DAB0124" wp14:textId="78881246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Il ne s’agit donc pas simplement de purifier le corps actuel, mais de transformer l’état de l’âme afin de recevoir, dans une naissance future, un corps correspondant à cette pureté.</w:t>
      </w:r>
    </w:p>
    <w:p xmlns:wp14="http://schemas.microsoft.com/office/word/2010/wordml" w:rsidP="6DFEE37D" wp14:paraId="419C4062" wp14:textId="6FC5D96D">
      <w:pPr>
        <w:spacing w:before="240" w:beforeAutospacing="off" w:after="240" w:afterAutospacing="off"/>
      </w:pPr>
      <w:r w:rsidRPr="6DFEE37D" w:rsidR="412C786C">
        <w:rPr>
          <w:rFonts w:ascii="Aptos" w:hAnsi="Aptos" w:eastAsia="Aptos" w:cs="Aptos"/>
          <w:noProof w:val="0"/>
          <w:sz w:val="24"/>
          <w:szCs w:val="24"/>
          <w:lang w:val="fr-FR"/>
        </w:rPr>
        <w:t>💡 À retenir : la différence entre बनना (bannā, devenir) et मिलना (milnā, recevoir) est essentielle. L’âme devient pure ; le corps pur, lui, est reçu.</w:t>
      </w:r>
    </w:p>
    <w:p xmlns:wp14="http://schemas.microsoft.com/office/word/2010/wordml" w:rsidP="6DFEE37D" wp14:paraId="1BD8E95B" wp14:textId="6E04FE8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DFEE37D" wp14:paraId="44025A3B" wp14:textId="7D3F1D5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DFEE37D" wp14:paraId="2F566EFC" wp14:textId="6D6F5B7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DFEE37D" w:rsidR="0BE64AE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6C7E8D5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7a514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9d88f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BF6700"/>
    <w:rsid w:val="0BE64AE5"/>
    <w:rsid w:val="162E2DA7"/>
    <w:rsid w:val="1767D730"/>
    <w:rsid w:val="1DDA3979"/>
    <w:rsid w:val="2163FDAB"/>
    <w:rsid w:val="2E676CE7"/>
    <w:rsid w:val="2E676CE7"/>
    <w:rsid w:val="412C786C"/>
    <w:rsid w:val="57BF6700"/>
    <w:rsid w:val="6D7EA1F2"/>
    <w:rsid w:val="6DFEE37D"/>
    <w:rsid w:val="745D2A2B"/>
    <w:rsid w:val="79C59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106B9"/>
  <w15:chartTrackingRefBased/>
  <w15:docId w15:val="{5E229BA6-FA6A-4E1D-8339-26C3E1CA714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DFEE37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DFEE37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DFEE37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DFEE37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f4c00342cab424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2026-10-15T06:13:14.7035069Z</dcterms:created>
  <dcterms:modified xsi:type="dcterms:W3CDTF">2026-10-15T06:20:04.3058094Z</dcterms:modified>
  <dc:creator>Jacques VUILLAUME</dc:creator>
  <lastModifiedBy>Jacques VUILLAUME</lastModifiedBy>
</coreProperties>
</file>